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宋体" w:hint="eastAsia"/>
          <w:b/>
          <w:color w:val="auto"/>
          <w:sz w:val="44"/>
          <w:szCs w:val="44"/>
        </w:rPr>
      </w:pPr>
      <w:r>
        <w:rPr>
          <w:rFonts w:eastAsia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/>
          <w:b w:val="0"/>
          <w:bCs/>
          <w:color w:val="auto"/>
          <w:sz w:val="44"/>
          <w:szCs w:val="44"/>
        </w:rPr>
      </w:pPr>
      <w:r>
        <w:rPr>
          <w:rFonts w:ascii="宋体"/>
          <w:b w:val="0"/>
          <w:bCs/>
          <w:color w:val="auto"/>
          <w:sz w:val="44"/>
          <w:szCs w:val="44"/>
        </w:rPr>
        <w:t>高级卫生专业技术资格考试专业目录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698"/>
        <w:gridCol w:w="2995"/>
        <w:gridCol w:w="715"/>
        <w:gridCol w:w="2412"/>
      </w:tblGrid>
      <w:tr>
        <w:trPr>
          <w:trHeight w:val="87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专业编码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</w:t>
              <w:br/>
              <w:t>编码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专业编码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color w:val="auto"/>
                <w:kern w:val="0"/>
                <w:sz w:val="22"/>
                <w:szCs w:val="22"/>
              </w:rPr>
              <w:t>专业名称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中医耳鼻喉科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中医皮肤科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中医肛肠科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推拿科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中药学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职业卫生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环境卫生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营养与食品卫生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学校卫生与儿少卫生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放射卫生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传染性疾病控制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慢性非传染性疾病控制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寄生虫病控制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健康教育与健康促进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卫生毒理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妇女保健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儿童保健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微生物检验技术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理化检验技术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病媒生物控制技术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病案信息技术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口腔医学技术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卫生管理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医学工程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地方病控制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消毒技术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耳鼻喉(头颈外科)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输血技术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药物分析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心电图技术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脑电图技术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全科医学（中医类）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中医肿瘤学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中西医结合内科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中西医结合外科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中西医结合妇科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中西医结合儿科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介入治疗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重症医学</w:t>
            </w:r>
          </w:p>
        </w:tc>
      </w:tr>
      <w:tr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color w:val="auto"/>
                <w:kern w:val="0"/>
                <w:sz w:val="22"/>
                <w:szCs w:val="22"/>
              </w:rPr>
              <w:t>中医护理</w:t>
            </w:r>
          </w:p>
        </w:tc>
      </w:tr>
    </w:tbl>
    <w:p>
      <w:pPr>
        <w:rPr>
          <w:color w:val="auto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480" w:lineRule="exact"/>
        <w:rPr>
          <w:rFonts w:asci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6" w:h="16838"/>
      <w:pgMar w:top="1928" w:right="1389" w:bottom="2041" w:left="1531" w:header="851" w:footer="1361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rebuchet M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  <w:rFonts w:ascii="宋体" w:hint="eastAsia"/>
        <w:sz w:val="28"/>
        <w:szCs w:val="28"/>
      </w:rPr>
    </w:pPr>
    <w:r>
      <w:rPr>
        <w:rStyle w:val="19"/>
        <w:rFonts w:ascii="宋体" w:hint="eastAsia"/>
        <w:color w:val="FFFFFF"/>
        <w:sz w:val="28"/>
        <w:szCs w:val="28"/>
      </w:rPr>
      <w:t>—</w:t>
    </w:r>
    <w:r>
      <w:rPr>
        <w:rStyle w:val="19"/>
        <w:rFonts w:ascii="宋体" w:hint="eastAsia"/>
        <w:sz w:val="28"/>
        <w:szCs w:val="28"/>
      </w:rPr>
      <w:t xml:space="preserve">— </w:t>
    </w:r>
    <w:r>
      <w:rPr>
        <w:rStyle w:val="19"/>
        <w:rFonts w:ascii="宋体"/>
        <w:sz w:val="28"/>
        <w:szCs w:val="28"/>
      </w:rPr>
      <w:fldChar w:fldCharType="begin"/>
    </w:r>
    <w:r>
      <w:rPr>
        <w:rStyle w:val="19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19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  <w:r>
      <w:rPr>
        <w:rFonts w:ascii="宋体" w:hint="eastAsia"/>
        <w:color w:val="FFFFFF"/>
        <w:sz w:val="28"/>
        <w:szCs w:val="28"/>
      </w:rPr>
      <w:t>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1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next w:val="18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paragraph" w:customStyle="1" w:styleId="18">
    <w:name w:val="样式1"/>
    <w:basedOn w:val="0"/>
    <w:rPr>
      <w:b/>
      <w:color w:val="538135"/>
      <w:sz w:val="28"/>
    </w:rPr>
  </w:style>
  <w:style w:type="character" w:styleId="19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38</TotalTime>
  <Application>Yozo_Office27021597764231179</Application>
  <Pages>2</Pages>
  <Words>760</Words>
  <Characters>988</Characters>
  <Lines>257</Lines>
  <Paragraphs>236</Paragraphs>
  <CharactersWithSpaces>989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杨小强</dc:creator>
  <cp:lastModifiedBy>wjw</cp:lastModifiedBy>
  <cp:revision>1</cp:revision>
  <cp:lastPrinted>2022-03-24T14:46:00Z</cp:lastPrinted>
  <dcterms:created xsi:type="dcterms:W3CDTF">2022-01-07T17:50:00Z</dcterms:created>
  <dcterms:modified xsi:type="dcterms:W3CDTF">2022-04-01T10:53:20Z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  <property fmtid="{D5CDD505-2E9C-101B-9397-08002B2CF9AE}" pid="3" name="ICV">
    <vt:lpwstr>CC5AB6F25A3744DA90D59F67FDDEBD2E</vt:lpwstr>
  </property>
</Properties>
</file>